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923" w:rsidRDefault="00B55B8A" w:rsidP="00193923">
      <w:pPr>
        <w:spacing w:line="36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G:\скан 11\фос  устр то рихтов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1\фос  устр то рихтов куз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2" descr="G:\скан 11\2 фос устр то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1\2 фос устр то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23" w:rsidRDefault="00193923" w:rsidP="00193923">
      <w:pPr>
        <w:spacing w:line="36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93923" w:rsidRDefault="00193923" w:rsidP="00193923">
      <w:pPr>
        <w:spacing w:line="36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C2170" w:rsidRDefault="00193923" w:rsidP="00193923">
      <w:pPr>
        <w:spacing w:line="360" w:lineRule="auto"/>
        <w:ind w:left="-567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  <w:hideMark/>
          </w:tcPr>
          <w:p w:rsidR="00AC2170" w:rsidRDefault="00AC2170" w:rsidP="00A91B60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rPr>
          <w:rFonts w:ascii="Times New Roman" w:hAnsi="Times New Roman"/>
          <w:sz w:val="24"/>
        </w:rPr>
        <w:sectPr w:rsidR="00AC2170">
          <w:pgSz w:w="11900" w:h="16838"/>
          <w:pgMar w:top="709" w:right="840" w:bottom="1440" w:left="1700" w:header="0" w:footer="0" w:gutter="0"/>
          <w:cols w:space="720"/>
        </w:sectPr>
      </w:pPr>
    </w:p>
    <w:p w:rsidR="00AC2170" w:rsidRPr="00333043" w:rsidRDefault="00AC2170" w:rsidP="00AC2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 w:rsidRPr="00333043"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6743745"/>
      <w:bookmarkStart w:id="2" w:name="_Toc307291357"/>
    </w:p>
    <w:p w:rsidR="00AC2170" w:rsidRDefault="00AC2170" w:rsidP="00AC2170">
      <w:pPr>
        <w:jc w:val="center"/>
        <w:rPr>
          <w:b/>
          <w:sz w:val="28"/>
          <w:szCs w:val="28"/>
        </w:rPr>
      </w:pPr>
    </w:p>
    <w:p w:rsidR="00B10E62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Настоящий фонд оценочных средств предназначен для оценки освоения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="00667944" w:rsidRPr="00667944">
        <w:rPr>
          <w:rFonts w:ascii="Times New Roman" w:hAnsi="Times New Roman"/>
          <w:b/>
          <w:bCs/>
          <w:sz w:val="28"/>
          <w:szCs w:val="28"/>
        </w:rPr>
        <w:t>Устройство ТО и ремонт автомобильного транспорта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обученияразработан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основе  </w:t>
      </w:r>
      <w:r w:rsidR="00B10E62" w:rsidRPr="00B10E62">
        <w:rPr>
          <w:rFonts w:ascii="Times New Roman" w:hAnsi="Times New Roman" w:cs="Times New Roman"/>
          <w:sz w:val="28"/>
          <w:szCs w:val="28"/>
        </w:rPr>
        <w:t>по профессии 18085 Рихтовщик кузовов,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 w:rsidR="00667944" w:rsidRPr="00667944">
        <w:rPr>
          <w:rFonts w:ascii="Times New Roman" w:hAnsi="Times New Roman"/>
          <w:b/>
          <w:bCs/>
          <w:sz w:val="28"/>
          <w:szCs w:val="28"/>
        </w:rPr>
        <w:t>Устройство ТО и ремонт автомобильного транспорта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роводится дифференцированный зачет.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AC2170" w:rsidRPr="00B10E62" w:rsidRDefault="00AC2170" w:rsidP="00AC2170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2.Результаты освоения программы учебной дисциплины, подлежащие </w:t>
      </w:r>
      <w:r w:rsidRPr="00B10E62">
        <w:rPr>
          <w:rFonts w:ascii="Times New Roman" w:hAnsi="Times New Roman" w:cs="Times New Roman"/>
          <w:i w:val="0"/>
        </w:rPr>
        <w:t>проверке</w:t>
      </w:r>
      <w:bookmarkEnd w:id="1"/>
      <w:bookmarkEnd w:id="2"/>
    </w:p>
    <w:p w:rsidR="00AC2170" w:rsidRPr="00B10E62" w:rsidRDefault="00AC2170" w:rsidP="00AC2170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6743746"/>
      <w:bookmarkStart w:id="4" w:name="_Toc307291358"/>
      <w:r w:rsidRPr="00B10E62"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AC2170" w:rsidRPr="00B10E62" w:rsidRDefault="00AC2170" w:rsidP="00AC2170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5" w:name="page6"/>
      <w:bookmarkStart w:id="6" w:name="page7"/>
      <w:bookmarkEnd w:id="5"/>
      <w:bookmarkEnd w:id="6"/>
      <w:r w:rsidRPr="00B10E62">
        <w:rPr>
          <w:rFonts w:ascii="Times New Roman" w:hAnsi="Times New Roman" w:cs="Times New Roman"/>
          <w:bCs/>
          <w:sz w:val="28"/>
          <w:szCs w:val="28"/>
        </w:rPr>
        <w:t>ОК 2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3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ответственность за результаты своей работы.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4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существлять поиск информации, необходимой для эффективного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выполнения профессиональных задач.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6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Р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аботать в команде, эффективно общаться с коллегами, руководством.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AC2170">
          <w:pgSz w:w="11900" w:h="16838"/>
          <w:pgMar w:top="1112" w:right="720" w:bottom="1027" w:left="1580" w:header="0" w:footer="0" w:gutter="0"/>
          <w:cols w:space="720"/>
        </w:sectPr>
      </w:pPr>
    </w:p>
    <w:p w:rsidR="00AC2170" w:rsidRDefault="00AC2170" w:rsidP="00AC2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r w:rsidR="004868B6">
        <w:rPr>
          <w:rFonts w:ascii="Times New Roman" w:hAnsi="Times New Roman"/>
          <w:b/>
          <w:bCs/>
          <w:sz w:val="28"/>
          <w:szCs w:val="28"/>
        </w:rPr>
        <w:t>Охрана труда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1. Основы технического обслуживания и ремонта подвижного состава автомобильного транспорта: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67944">
        <w:rPr>
          <w:rFonts w:ascii="Times New Roman" w:hAnsi="Times New Roman" w:cs="Times New Roman"/>
          <w:sz w:val="28"/>
          <w:szCs w:val="28"/>
        </w:rPr>
        <w:t>понятие надежности, ее свойства и показатели, пути повышения надежности;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-отказы и неисправности, их классификация;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-понятия: исправное, неисправное, работоспособное, предельное состояния;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-причины изменения технического состояния автомобиля;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-виды изнашивания и их характеристика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-факторы, влияющие на изменения технического состояния автомобиля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67944">
        <w:rPr>
          <w:rFonts w:ascii="Times New Roman" w:hAnsi="Times New Roman" w:cs="Times New Roman"/>
          <w:sz w:val="28"/>
          <w:szCs w:val="28"/>
        </w:rPr>
        <w:t>понятие о системе ТО и ремонта техники;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-термины и определения;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lastRenderedPageBreak/>
        <w:t>-сущность и общая характеристика ППС ТОР подвижного состава автомобильного транспорта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67944">
        <w:rPr>
          <w:rFonts w:ascii="Times New Roman" w:hAnsi="Times New Roman" w:cs="Times New Roman"/>
          <w:sz w:val="28"/>
          <w:szCs w:val="28"/>
        </w:rPr>
        <w:t>назначение, основы и содержание Положения о ТО и ремонте;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-виды ТО, их характеристика;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-периодичность ТО;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67944">
        <w:rPr>
          <w:rFonts w:ascii="Times New Roman" w:hAnsi="Times New Roman" w:cs="Times New Roman"/>
          <w:sz w:val="28"/>
          <w:szCs w:val="28"/>
        </w:rPr>
        <w:t>виды ремонта, назначение и их характеристика;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-исходные нормативы по ТО, их выбор и методика корректирования.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67944">
        <w:rPr>
          <w:rFonts w:ascii="Times New Roman" w:hAnsi="Times New Roman" w:cs="Times New Roman"/>
          <w:sz w:val="28"/>
          <w:szCs w:val="28"/>
        </w:rPr>
        <w:t>задачи технической диагностики;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-виды и методы диагностирования;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-место диагностирования в системе ТО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>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-структурные и диагностические параметры; номинальный, допустимый и предельный нормативы параметров диагностирования;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-прогнозирование остаточного ресурса агрегатов.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2. Технологическое и диагностическое оборудование для ТО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>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-назначение технологического и диагностического оборудования;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-классификация оборудования;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-требования, предъявляемые к оборудованию.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2.1 Назначение оборудования для УМР;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-моечные установки для шланговой мойки автомобилей, устройство, принцип действия, техническая характеристика;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-механизированные и автоматизированные установки для мойки грузовых и легковых автомобилей и автобусов, устройство, принцип действия, техническая характеристика;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-установки для обдува и сушки автомобилей после мойки, устройство, принцип действия, техническая характеристика;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-методы очистки сточных вод, устройство, принцип действия, техническая характеристика;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2.2 Осмотровое и подъемно-транспортное оборудование: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-классификация и общие требования;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-осмотровые канавы;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-эстакады;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-гидравлические и электромеханические подъемники постовые;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-канавные подъемники;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-краны для снятия и установки агрегатов автомобилей;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-конвейеры для поточных линий;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-монорельсы и кран-балки.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2.3Оборудование для смазочно-заправочных работ: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-классификация;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-маслораздаточные колонки;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маслораздаточные установки;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-оборудование для смазки пластичными смазками;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-комбинированное смазочно-заправочное оборудование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2.4Оборудование, приспособления и инструмент для разборочно-сборочных работ: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-классификация;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lastRenderedPageBreak/>
        <w:t>-стенды для разборки и сборки агрегатов и узлов;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-гайковерты с различными приводами;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-состав комплектов инструментов и приспособлений для разборочно-сборочных работ.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-классификация средств диагностирования;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-средства диагностирования двигателей;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средства диагностирования тормозов;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средства диагностирования ходовой части и рулевого управления;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-состав комплектов для определения технического состояния автобусов, грузовых и легковых автомобилей.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3.Комплекс технических воздействий по ТО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>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3.1.Назначение, общие сведения и технология ежедневного обслуживания автомобилей: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-уборка кузова, кабины, платформы с использованием средств механизации;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-технология мойки и сушки автомобилей, применяемые моющие средства;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-технология заправки и дозаправки топливом, маслами и специальными жидкостями;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-правила техники безопасности и охрана окружающей среды.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3.2. Проверка технического состояния двигателя наружным осмотром: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-пуск двигателя, контроль по встроенным приборам, прослушивание двигателя;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-диагностические параметры двигателя: эффективная мощность двигателя, давление масла в главной магистрали, удельный расход топлива, содержание вредных веществ в отработавших газах, </w:t>
      </w:r>
      <w:proofErr w:type="spellStart"/>
      <w:r w:rsidRPr="00667944">
        <w:rPr>
          <w:rFonts w:ascii="Times New Roman" w:hAnsi="Times New Roman" w:cs="Times New Roman"/>
          <w:sz w:val="28"/>
          <w:szCs w:val="28"/>
        </w:rPr>
        <w:t>дымность</w:t>
      </w:r>
      <w:proofErr w:type="spellEnd"/>
      <w:r w:rsidRPr="00667944">
        <w:rPr>
          <w:rFonts w:ascii="Times New Roman" w:hAnsi="Times New Roman" w:cs="Times New Roman"/>
          <w:sz w:val="28"/>
          <w:szCs w:val="28"/>
        </w:rPr>
        <w:t xml:space="preserve"> отработавших газов;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-используемое диагностическое оборудование;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-техника безопасности при диагностировании двигателя.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3.3. Техническое обслуживание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КШМ: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-отказы и неисправности КШМ и ГРМ, внешние признаки и причины;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-начальные, допустимые и предельные значения структурных и диагностических параметров;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-технология диагностирования КШМ и ГРМ по величине компрессии и утечке воздуха;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-технология проверки тепловых зазоров в ГРМ;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-основные работы, выполняемые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ТО двигателей;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-работы при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двигателей: удаление нагара из камер сгорания, замена поршневых колец, поршней, вкладышей, шатунов и прокладок, подбор, притирка и установка клапанов.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3.4. Техническое обслуживание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ГРМ: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-отказы и неисправности систем охлаждения и смазки, внешние признаки и причины;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lastRenderedPageBreak/>
        <w:t>-диагностирование систем охлаждения и смазки, начальные, допустимые и предельные значения структурных и диагностических параметров, применяемое оборудование;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3.5.Работы по ТО систем охлаждения и смазки: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-проверка и регулировка натяжения ремней привода вентилятора, проверка технического состояния термостатов, проверка качества масла;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-влияние накипи на работу двигателя, предупреждение и удаление накипи из системы охлаждения;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-общее устройство и принцип действия установки для промывки системы смазки;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-работы по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систем охлаждения и смазки.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3.6.</w:t>
      </w:r>
      <w:r w:rsidRPr="0066794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67944">
        <w:rPr>
          <w:rFonts w:ascii="Times New Roman" w:hAnsi="Times New Roman" w:cs="Times New Roman"/>
          <w:sz w:val="28"/>
          <w:szCs w:val="28"/>
        </w:rPr>
        <w:t xml:space="preserve">Техническое обслуживание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систем питания карбюраторного двигателя: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-отказы и неисправности систем питания </w:t>
      </w:r>
      <w:proofErr w:type="spellStart"/>
      <w:r w:rsidRPr="00667944">
        <w:rPr>
          <w:rFonts w:ascii="Times New Roman" w:hAnsi="Times New Roman" w:cs="Times New Roman"/>
          <w:sz w:val="28"/>
          <w:szCs w:val="28"/>
        </w:rPr>
        <w:t>карб</w:t>
      </w:r>
      <w:proofErr w:type="spellEnd"/>
      <w:r w:rsidRPr="00667944">
        <w:rPr>
          <w:rFonts w:ascii="Times New Roman" w:hAnsi="Times New Roman" w:cs="Times New Roman"/>
          <w:sz w:val="28"/>
          <w:szCs w:val="28"/>
        </w:rPr>
        <w:t>. двигателя, их внешние признаки и причины;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диагностирование систем питания, начальные, допустимые и предельные значения структурных и диагностических параметров, применяемое оборудование;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-регулировка карбюратора на малые обороты холостого хода с замером состава отработавших газов, устройство и принцип действия газоанализатора;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-проверка и регулировка уровня топлива в поплавковой камере;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-диагностирование топливного насоса и карбюратора на двигателе;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 проверка и регулировка карбюратора и топливного насоса,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снятых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с двигателя, приборы для проверки уровня топлива и герметичности игольчатого клапана;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-проверка карбюратора на стенде на всех режимах, стендовая проверка расхода топлива;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-работы по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систем питания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3.7. Техническое обслуживание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систем питания дизельного двигателя: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отказы и неисправности систем питания дизеля, их внешние признаки и причины;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 диагностирование систем питания дизеля, начальные, допустимые и предельные значения структурных и диагностических параметров, технология их определения, применяемое оборудование, </w:t>
      </w:r>
      <w:proofErr w:type="spellStart"/>
      <w:r w:rsidRPr="00667944">
        <w:rPr>
          <w:rFonts w:ascii="Times New Roman" w:hAnsi="Times New Roman" w:cs="Times New Roman"/>
          <w:sz w:val="28"/>
          <w:szCs w:val="28"/>
        </w:rPr>
        <w:t>дымность</w:t>
      </w:r>
      <w:proofErr w:type="spellEnd"/>
      <w:r w:rsidRPr="00667944">
        <w:rPr>
          <w:rFonts w:ascii="Times New Roman" w:hAnsi="Times New Roman" w:cs="Times New Roman"/>
          <w:sz w:val="28"/>
          <w:szCs w:val="28"/>
        </w:rPr>
        <w:t xml:space="preserve"> отработавших газов в соответствии с ГОСТ;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-работы по ТО систем питания;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-проверка герметичности соединений </w:t>
      </w:r>
      <w:proofErr w:type="spellStart"/>
      <w:r w:rsidRPr="00667944">
        <w:rPr>
          <w:rFonts w:ascii="Times New Roman" w:hAnsi="Times New Roman" w:cs="Times New Roman"/>
          <w:sz w:val="28"/>
          <w:szCs w:val="28"/>
        </w:rPr>
        <w:t>топливопроводов</w:t>
      </w:r>
      <w:proofErr w:type="spellEnd"/>
      <w:r w:rsidRPr="00667944">
        <w:rPr>
          <w:rFonts w:ascii="Times New Roman" w:hAnsi="Times New Roman" w:cs="Times New Roman"/>
          <w:sz w:val="28"/>
          <w:szCs w:val="28"/>
        </w:rPr>
        <w:t xml:space="preserve">, устройство приспособления для </w:t>
      </w:r>
      <w:proofErr w:type="spellStart"/>
      <w:r w:rsidRPr="00667944">
        <w:rPr>
          <w:rFonts w:ascii="Times New Roman" w:hAnsi="Times New Roman" w:cs="Times New Roman"/>
          <w:sz w:val="28"/>
          <w:szCs w:val="28"/>
        </w:rPr>
        <w:t>опрессовки</w:t>
      </w:r>
      <w:proofErr w:type="spellEnd"/>
      <w:r w:rsidRPr="00667944">
        <w:rPr>
          <w:rFonts w:ascii="Times New Roman" w:hAnsi="Times New Roman" w:cs="Times New Roman"/>
          <w:sz w:val="28"/>
          <w:szCs w:val="28"/>
        </w:rPr>
        <w:t>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-проверка форсунок на двигателе и снятых, их регулировка, прибор для проверки и регулировки форсунок;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-проверка ТНВД на двигателе, стендовая проверка и регулировка ТНВД, общее устройство стенда;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lastRenderedPageBreak/>
        <w:t>-регулировка ТНВД на наименьшие обороты холостого хода;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-работы по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приборов системы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3.8 Техническое обслуживание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систем питания двигателя на газе: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-отказы и неисправности газобаллонного оборудования, их внешние признаки и причины;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диагностирование систем питания на газе, начальные, допустимые и предельные значения структурных и диагностических параметров, технология их определения, применяемое оборудование;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-работы по ТО систем питания;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-технология регулировки газовых редукторов и карбюраторов-смесителей, стенд для испытания приборов систем питания;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-работы по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систем питания;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-техника безопасности, противопожарная защита.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3.9. Техническое обслуживание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944">
        <w:rPr>
          <w:rFonts w:ascii="Times New Roman" w:hAnsi="Times New Roman" w:cs="Times New Roman"/>
          <w:sz w:val="28"/>
          <w:szCs w:val="28"/>
        </w:rPr>
        <w:t>инжекторных</w:t>
      </w:r>
      <w:proofErr w:type="spellEnd"/>
      <w:r w:rsidRPr="00667944">
        <w:rPr>
          <w:rFonts w:ascii="Times New Roman" w:hAnsi="Times New Roman" w:cs="Times New Roman"/>
          <w:sz w:val="28"/>
          <w:szCs w:val="28"/>
        </w:rPr>
        <w:t xml:space="preserve"> систем питания двигателя: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отказы и неисправности систем впрыска топлива, их внешние признаки и причины;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диагностирование систем питания, начальные, допустимые и предельные значения структурных и диагностических параметров, технология их определения, применяемое оборудование;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-работы по ТО систем питания, оборудование для промывки форсунок;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-работы по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систем впрыска.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3.10 Техническое обслуживание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электрооборудования: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диагностирование электрооборудования, начальные, допустимые и предельные значения структурных и диагностических параметров, технология их определения;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общие устройства и принцип действия приборов и стендов диагностирования системы электрооборудования;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 диагностирование системы зажигания при помощи </w:t>
      </w:r>
      <w:proofErr w:type="spellStart"/>
      <w:proofErr w:type="gramStart"/>
      <w:r w:rsidRPr="00667944">
        <w:rPr>
          <w:rFonts w:ascii="Times New Roman" w:hAnsi="Times New Roman" w:cs="Times New Roman"/>
          <w:sz w:val="28"/>
          <w:szCs w:val="28"/>
        </w:rPr>
        <w:t>мотор-тестера</w:t>
      </w:r>
      <w:proofErr w:type="spellEnd"/>
      <w:proofErr w:type="gramEnd"/>
      <w:r w:rsidRPr="00667944">
        <w:rPr>
          <w:rFonts w:ascii="Times New Roman" w:hAnsi="Times New Roman" w:cs="Times New Roman"/>
          <w:sz w:val="28"/>
          <w:szCs w:val="28"/>
        </w:rPr>
        <w:t>, переносными приборами, проверка и установка зажигания;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техническое обслуживание систем электроснабжения, зажигания, пуска, приборов освещения и сигнализации;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технология проверки силы света и регулировки установки фар в соответствии с ГОСТ;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работы по текущему ремонту систем электроснабжения, зажигания, пуска, приборов освещения и сигнализации.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3.11</w:t>
      </w:r>
      <w:r w:rsidRPr="00667944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Pr="00667944">
        <w:rPr>
          <w:rFonts w:ascii="Times New Roman" w:hAnsi="Times New Roman" w:cs="Times New Roman"/>
          <w:sz w:val="28"/>
          <w:szCs w:val="28"/>
        </w:rPr>
        <w:t xml:space="preserve">Техническое обслуживание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агрегатов трансмиссии: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неисправности агрегатов трансмиссии, внешние признаки и причины;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технология проверки силы света и регулировки установки фар в соответствии с ГОСТ;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начальные, допустимые и предельные значения структурных и диагностических параметров, методы их определения, устройство применяемого диагностического оборудования;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диагностирование и регулировка сцепления и его привода, коробки передач, карданной и главной передачи;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lastRenderedPageBreak/>
        <w:t>- работы по техническому обслуживанию трансмиссии;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работы по текущему ремонту трансмиссии;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техника безопасности при выполнении работ.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3.12.</w:t>
      </w:r>
      <w:r w:rsidRPr="0066794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67944">
        <w:rPr>
          <w:rFonts w:ascii="Times New Roman" w:hAnsi="Times New Roman" w:cs="Times New Roman"/>
          <w:sz w:val="28"/>
          <w:szCs w:val="28"/>
        </w:rPr>
        <w:t xml:space="preserve">Техническое обслуживание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ходовой части: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отказы и неисправности ходовой части и автомобильных шин, признаки и причины;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диагностирование ходовой части, начальные, допустимые и предельные значения структурных и диагностических параметров, технология их определения;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устройство и принцип действия стендов для проверки регулировки углов установки управляемых колес, технология проверки и регулировки углов установки управляемых колес, люфтов шкворневого соединения и подшипников ступиц колес;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работы по техническому обслуживанию и текущему ремонту ходовой части;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 требования к техническому состоянию автомобильных шин в соответствии с ГОСТ,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факторы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влияющие на износ шин, работы по техническому обслуживанию шин;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работы по текущему ремонту шин, оборудование для текущего ремонта шин;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технология монтажа и демонтажа шин, устройство и принцип действия стендов для демонтажа и монтажа шин;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балансировка колес, технология балансировки на стендах, устройство и принцип действия стендов для балансировки колес;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техника безопасности.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3.13.</w:t>
      </w:r>
      <w:r w:rsidRPr="0066794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67944">
        <w:rPr>
          <w:rFonts w:ascii="Times New Roman" w:hAnsi="Times New Roman" w:cs="Times New Roman"/>
          <w:sz w:val="28"/>
          <w:szCs w:val="28"/>
        </w:rPr>
        <w:t xml:space="preserve">Техническое обслуживание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рулевого управления: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отказы и неисправности рулевого управления и тормозного управления, внешние признаки и причины;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требования к техническому состоянию механизмов управления в соответствии с ГОСТ;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диагностирование механизмов управления, начальные, допустимые и предельные значения структурных и диагностических параметров, технология их определения, устройство и работа стендов для диагностирования механизмов управления;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техническое обслуживание рулевого управления, тормозного управления с гидравлическим и пневматическим приводами;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работы по текущему ремонту механизмов управления.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3.14.Диагностирование на постах общей и поэлементной диагностики: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содержание и порядок проведения Д-1и Д-2, трудоемкость Д-1 и Д-2, диагностические карты Д-1 и Д-2, их содержание и порядок заполнения;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порядок заполнения накопительной карты Д-2;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-устройство и принцип действия комбинированных диагностических стендов.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4</w:t>
      </w:r>
      <w:r w:rsidRPr="00667944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Pr="00667944">
        <w:rPr>
          <w:rFonts w:ascii="Times New Roman" w:hAnsi="Times New Roman" w:cs="Times New Roman"/>
          <w:sz w:val="28"/>
          <w:szCs w:val="28"/>
        </w:rPr>
        <w:t>Классификация АТП: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lastRenderedPageBreak/>
        <w:t>- по роду выполняемых работ и обслуживанию подвижного состава;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по целевому назначению;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по характеру производственно хозяйственной деятельности и подчиненности;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по организации производственной деятельности;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по виду производственно-технической базы для технического обслуживания и ремонта автомобилей.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5. Схема технологического процесса технического обслуживания и ремонта автомобилей: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схема технологического процесса технического обслуживания и ремонта автомобилей в АТП;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прием и выпуск автомобилей;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последовательность технических воздействий на автомобиль в зависимости от его технического состояния;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рациональные режимы работы по техническому обслуживанию и ремонту автомобилей.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методы организации труда ремонтных рабочих в АТП;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перспективные формы организации труда ремонтных рабочих, их сущность и организация;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преимущества и недостатки различных методов и форм организации труда ремонтных рабочих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6</w:t>
      </w:r>
      <w:r w:rsidRPr="0066794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67944">
        <w:rPr>
          <w:rFonts w:ascii="Times New Roman" w:hAnsi="Times New Roman" w:cs="Times New Roman"/>
          <w:sz w:val="28"/>
          <w:szCs w:val="28"/>
        </w:rPr>
        <w:t> Организация ТО-1 и ТО-2: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организация ЕО, содержание, место и время выполнения;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организация и оборудование КТП, прием и контроль технического состояния автомобилей, работа КТП по предупреждению перерасхода горючего, порядок оформления на КТП установленной учетной документации;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организация ТО-1 и ТО-2, место и время выполнения, выбор режима производства, методы организации технологического процесса ТО-1 и ТО-2;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ТО автомобилей на универсальных и специализированных постах, поточные линии и их типы, необходимые условия ритмичной и эффективной работы линий, организация ТО-1и ТО-2 с использованием диагностики, постовые технологические карты на работы при ТО-1 и ТО-2;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график проведения технических обслуживаний, листок учета ТО и ремонта автомобилей, контрольный талон, лицевая карточка автомобиля, заборная карта на запасные части, использование данных учета для оперативного управления производством.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правила оформления технической и отчетной документации;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-правила и нормы охраны труда, промышленной санитарии и противопожарная защита.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8.</w:t>
      </w:r>
      <w:r w:rsidRPr="0066794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67944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>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распределение работ по текущему ремонту автомобилей на постовые и участковые (цеховые) работы;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lastRenderedPageBreak/>
        <w:t xml:space="preserve">- агрегатно-узловой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индивидуальный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методы организации текущего ремонта;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организация производства текущего ремонта на специализированных и специальных постах;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типовые варианты организации постовых работ текущего ремонта;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 состав производственных участков (цехов) АТП (электротехнический, аккумуляторный, шиномонтажный и др.), их взаимосвязь с постами ТО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>, типовые планировочные решения.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 назначение и содержание контроля качества ТО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автомобилей, методы и виды контроля качества ТО и ТР;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 организация контроля качества при выполнении ТО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автомобилей, сертификация услуг по ТО и ТР автомобилей;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инструментальный контроль технического состояния автотранспортных средств.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правила оформления технической и отчетной документации;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-правила и нормы охраны труда, промышленной санитарии и противопожарная защита.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9. Методы организации и управление производством: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существующие методы организации производства и их характеристика;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 централизованное управление производством ТО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автомобилей, общая характеристика ЦУП, структура технической службы;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 основные производственные комплексы при ЦУП: по диагностированию автомобилей, агрегатов и узлов, проведению ТО и сопутствующего ремонта (комплексный участок ТОД), по проведению текущего ремонта, по ремонту агрегатов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узлов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снятых с автомобилей, изготовлению новых деталей (комплекс ремонтных участков), подготовки производства (комплексный участок ПП);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proofErr w:type="gramStart"/>
      <w:r w:rsidRPr="00667944">
        <w:rPr>
          <w:rFonts w:ascii="Times New Roman" w:hAnsi="Times New Roman" w:cs="Times New Roman"/>
          <w:sz w:val="28"/>
          <w:szCs w:val="28"/>
        </w:rPr>
        <w:t>- отделы: управления производством (ОУП), технический (ТО), главного механика (ОГМ), материально-технического снабжения (ОМТС), технического контроля (ОТК);</w:t>
      </w:r>
      <w:proofErr w:type="gramEnd"/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организация работы ОУП, структура, состав, задачи, обязанности работников, основные выполняемые работы: прием смены, оперативный контроль, выполнение, графика проведения диагностирования и ТО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оперативное планирование, контроль ТР, сдача смены, документооборот отдела, технические средства отдела, оснащение рабочего места диспетчера;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отдел обработки и анализа информации: состав, задачи, обязанности работников, выполняемые работы: подготовка информации, обработка и анализ данных полученных от производственных комплексов;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организация подготовки производства, комплексный участок подготовки производства, его функции и состав;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 обеспечение комплексов ТО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запасными частями и материалами, обеспечение уровня неснижаемого запаса оборотных агрегатов и </w:t>
      </w:r>
      <w:r w:rsidRPr="00667944">
        <w:rPr>
          <w:rFonts w:ascii="Times New Roman" w:hAnsi="Times New Roman" w:cs="Times New Roman"/>
          <w:sz w:val="28"/>
          <w:szCs w:val="28"/>
        </w:rPr>
        <w:lastRenderedPageBreak/>
        <w:t>деталей, организация доставки их на рабочие места, организация работы транспортного участка и промежуточного склада.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 организация механизированного производства ТО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с применением ЭВМ для оперативного управления производством в реальном масштабе времени, внедрение единой формы документооборота;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 составление сменно-суточных заданий для бригад ТО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автомобилей, ведомости диспетчера ЦУП, сменно-суточного задания для комплекса ПП.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программно-технический комплекс для решения задач на автоматизированном рабочем месте специалиста, виды АСУ;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система гибкого оперативного управления производством: автоматизированное рабочее место диспетчера, мастера участка, заведующего материальным складом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-основы организации деятельности организаций и управление ими.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10</w:t>
      </w:r>
      <w:r w:rsidRPr="0066794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67944">
        <w:rPr>
          <w:rFonts w:ascii="Times New Roman" w:hAnsi="Times New Roman" w:cs="Times New Roman"/>
          <w:sz w:val="28"/>
          <w:szCs w:val="28"/>
        </w:rPr>
        <w:t> Порядок проектирования и реконструкции АТП: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Основные положения действующих нормативных правовых актов;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Порядок проектирования и реконструкции АТП;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-Генеральный план предприятия, организация движения;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-Содержание задания на разработку проекта реконструкции и его составляющие части;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-Рабочие чертежи технологической части проекта;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-Расчетно-пояснительная записка и требования к ней;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-Расчет программы работ по ТО и ремонту;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-режимы производства ТО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>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-Определение периодичности ТО и ремонта автомобилей;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Определение числа ТО и ремонтов;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-Годовые фонды времени;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 Расчет числа рабочих;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-Выбор методов организации производства ТО и ремонта автомобилей, постов;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-Определение необходимого числа постов для ТО и ремонта;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-Расчет числа постов и линий при поточном обслуживании;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-Расчет числа постов для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 xml:space="preserve"> автомобилей;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-Расчет числа постов для диагностирования технического состояния автомобилей;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 xml:space="preserve">-Определение необходимого числа мест для автомобилей, ожидающих ТО и 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>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-Определение площадей зон ТО и ремонта автомобилей аналитическим и графическим методами;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-Определение площадей производственных отделений, участко</w:t>
      </w:r>
      <w:proofErr w:type="gramStart"/>
      <w:r w:rsidRPr="00667944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667944">
        <w:rPr>
          <w:rFonts w:ascii="Times New Roman" w:hAnsi="Times New Roman" w:cs="Times New Roman"/>
          <w:sz w:val="28"/>
          <w:szCs w:val="28"/>
        </w:rPr>
        <w:t>цехов);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-Определение площадей складских и подсобных помещений;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t>-Определе6ние площадей стоянки в зависимости от списочного состава;</w:t>
      </w:r>
    </w:p>
    <w:p w:rsidR="00667944" w:rsidRPr="00667944" w:rsidRDefault="00667944" w:rsidP="00667944">
      <w:pPr>
        <w:ind w:left="720"/>
        <w:rPr>
          <w:rFonts w:ascii="Times New Roman" w:hAnsi="Times New Roman" w:cs="Times New Roman"/>
          <w:sz w:val="28"/>
          <w:szCs w:val="28"/>
        </w:rPr>
      </w:pPr>
      <w:r w:rsidRPr="00667944">
        <w:rPr>
          <w:rFonts w:ascii="Times New Roman" w:hAnsi="Times New Roman" w:cs="Times New Roman"/>
          <w:sz w:val="28"/>
          <w:szCs w:val="28"/>
        </w:rPr>
        <w:lastRenderedPageBreak/>
        <w:t>-Планировка автотранспортных предприятий и производственных помещений в зависимости от распределения постов и функциональных схем технологических процессов;</w:t>
      </w:r>
    </w:p>
    <w:p w:rsidR="00C4543B" w:rsidRPr="00293404" w:rsidRDefault="00C4543B" w:rsidP="00667944">
      <w:pPr>
        <w:ind w:left="720"/>
        <w:rPr>
          <w:rFonts w:ascii="Times New Roman" w:hAnsi="Times New Roman" w:cs="Times New Roman"/>
          <w:sz w:val="28"/>
          <w:szCs w:val="28"/>
        </w:rPr>
      </w:pPr>
    </w:p>
    <w:sectPr w:rsidR="00C4543B" w:rsidRPr="00293404" w:rsidSect="004D1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64D1D"/>
    <w:multiLevelType w:val="multilevel"/>
    <w:tmpl w:val="4DD2DB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01546"/>
    <w:multiLevelType w:val="multilevel"/>
    <w:tmpl w:val="9DDC87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945A8"/>
    <w:multiLevelType w:val="multilevel"/>
    <w:tmpl w:val="131099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A44D28"/>
    <w:multiLevelType w:val="multilevel"/>
    <w:tmpl w:val="691CC5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954604"/>
    <w:multiLevelType w:val="multilevel"/>
    <w:tmpl w:val="91A62C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96083"/>
    <w:multiLevelType w:val="multilevel"/>
    <w:tmpl w:val="9E00EE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3A64EB"/>
    <w:multiLevelType w:val="multilevel"/>
    <w:tmpl w:val="A93047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5C3951"/>
    <w:multiLevelType w:val="multilevel"/>
    <w:tmpl w:val="15281F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AE6682"/>
    <w:multiLevelType w:val="multilevel"/>
    <w:tmpl w:val="A3D4A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567201"/>
    <w:multiLevelType w:val="multilevel"/>
    <w:tmpl w:val="D0421F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D54439"/>
    <w:multiLevelType w:val="multilevel"/>
    <w:tmpl w:val="F5160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43351F"/>
    <w:multiLevelType w:val="multilevel"/>
    <w:tmpl w:val="69429A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295138"/>
    <w:multiLevelType w:val="multilevel"/>
    <w:tmpl w:val="34C012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AA61AA"/>
    <w:multiLevelType w:val="multilevel"/>
    <w:tmpl w:val="26C476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5859FF"/>
    <w:multiLevelType w:val="multilevel"/>
    <w:tmpl w:val="CF4C4D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103A55"/>
    <w:multiLevelType w:val="multilevel"/>
    <w:tmpl w:val="3A8A44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1F4D31"/>
    <w:multiLevelType w:val="multilevel"/>
    <w:tmpl w:val="2A4C2A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032BC9"/>
    <w:multiLevelType w:val="multilevel"/>
    <w:tmpl w:val="E59421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D70720"/>
    <w:multiLevelType w:val="multilevel"/>
    <w:tmpl w:val="1AA69E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E93BAA"/>
    <w:multiLevelType w:val="multilevel"/>
    <w:tmpl w:val="6B6EF6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6D720AD"/>
    <w:multiLevelType w:val="multilevel"/>
    <w:tmpl w:val="96780E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4D0FC3"/>
    <w:multiLevelType w:val="multilevel"/>
    <w:tmpl w:val="AA608F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174475"/>
    <w:multiLevelType w:val="multilevel"/>
    <w:tmpl w:val="147AF8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BA6C46"/>
    <w:multiLevelType w:val="multilevel"/>
    <w:tmpl w:val="2F5A02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</w:num>
  <w:num w:numId="4">
    <w:abstractNumId w:val="23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3"/>
  </w:num>
  <w:num w:numId="10">
    <w:abstractNumId w:val="14"/>
  </w:num>
  <w:num w:numId="11">
    <w:abstractNumId w:val="11"/>
  </w:num>
  <w:num w:numId="12">
    <w:abstractNumId w:val="18"/>
  </w:num>
  <w:num w:numId="13">
    <w:abstractNumId w:val="4"/>
  </w:num>
  <w:num w:numId="14">
    <w:abstractNumId w:val="22"/>
  </w:num>
  <w:num w:numId="15">
    <w:abstractNumId w:val="5"/>
  </w:num>
  <w:num w:numId="16">
    <w:abstractNumId w:val="13"/>
  </w:num>
  <w:num w:numId="17">
    <w:abstractNumId w:val="12"/>
  </w:num>
  <w:num w:numId="18">
    <w:abstractNumId w:val="1"/>
  </w:num>
  <w:num w:numId="19">
    <w:abstractNumId w:val="19"/>
  </w:num>
  <w:num w:numId="20">
    <w:abstractNumId w:val="0"/>
  </w:num>
  <w:num w:numId="21">
    <w:abstractNumId w:val="24"/>
  </w:num>
  <w:num w:numId="22">
    <w:abstractNumId w:val="17"/>
  </w:num>
  <w:num w:numId="23">
    <w:abstractNumId w:val="21"/>
  </w:num>
  <w:num w:numId="24">
    <w:abstractNumId w:val="16"/>
  </w:num>
  <w:num w:numId="25">
    <w:abstractNumId w:val="15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170"/>
    <w:rsid w:val="00084B43"/>
    <w:rsid w:val="000F5A6C"/>
    <w:rsid w:val="00193923"/>
    <w:rsid w:val="00293404"/>
    <w:rsid w:val="002B6A5F"/>
    <w:rsid w:val="002D2733"/>
    <w:rsid w:val="00333043"/>
    <w:rsid w:val="00470EE7"/>
    <w:rsid w:val="004868B6"/>
    <w:rsid w:val="004D148D"/>
    <w:rsid w:val="00610E75"/>
    <w:rsid w:val="00667944"/>
    <w:rsid w:val="00AC2170"/>
    <w:rsid w:val="00B10E62"/>
    <w:rsid w:val="00B55B8A"/>
    <w:rsid w:val="00B5701E"/>
    <w:rsid w:val="00C42E27"/>
    <w:rsid w:val="00C4543B"/>
    <w:rsid w:val="00E34E07"/>
    <w:rsid w:val="00EC6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70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C217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C217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C21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C21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AC217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217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C2170"/>
    <w:pPr>
      <w:ind w:left="720"/>
      <w:contextualSpacing/>
    </w:pPr>
  </w:style>
  <w:style w:type="character" w:customStyle="1" w:styleId="21">
    <w:name w:val="Основной текст (2)_"/>
    <w:link w:val="210"/>
    <w:uiPriority w:val="99"/>
    <w:locked/>
    <w:rsid w:val="00AC2170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C2170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C21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sonormal0">
    <w:name w:val="msonormal"/>
    <w:basedOn w:val="a"/>
    <w:rsid w:val="00B10E6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B10E62"/>
  </w:style>
  <w:style w:type="character" w:styleId="a6">
    <w:name w:val="FollowedHyperlink"/>
    <w:basedOn w:val="a0"/>
    <w:uiPriority w:val="99"/>
    <w:semiHidden/>
    <w:unhideWhenUsed/>
    <w:rsid w:val="00B10E62"/>
    <w:rPr>
      <w:color w:val="80008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0E6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1939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9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4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043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1805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1447</TotalTime>
  <Pages>1</Pages>
  <Words>3138</Words>
  <Characters>17892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Admin</cp:lastModifiedBy>
  <cp:revision>22</cp:revision>
  <cp:lastPrinted>2020-07-08T12:58:00Z</cp:lastPrinted>
  <dcterms:created xsi:type="dcterms:W3CDTF">2020-02-17T12:16:00Z</dcterms:created>
  <dcterms:modified xsi:type="dcterms:W3CDTF">2020-07-10T09:32:00Z</dcterms:modified>
</cp:coreProperties>
</file>