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AEC" w:rsidRDefault="00A66200" w:rsidP="00A66200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слес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слес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AE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2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20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EC" w:rsidRDefault="00A55AEC" w:rsidP="00A55AEC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A55AEC" w:rsidRDefault="00A55AEC" w:rsidP="00A55AEC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3105AF" w:rsidRDefault="00A55AEC" w:rsidP="00A55AEC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3105AF" w:rsidTr="003105AF">
        <w:trPr>
          <w:trHeight w:val="454"/>
        </w:trPr>
        <w:tc>
          <w:tcPr>
            <w:tcW w:w="8635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3105AF" w:rsidTr="003105AF">
        <w:trPr>
          <w:trHeight w:val="454"/>
        </w:trPr>
        <w:tc>
          <w:tcPr>
            <w:tcW w:w="8635" w:type="dxa"/>
            <w:hideMark/>
          </w:tcPr>
          <w:p w:rsidR="003105AF" w:rsidRDefault="003105AF" w:rsidP="00F30112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3105AF" w:rsidTr="003105AF">
        <w:trPr>
          <w:trHeight w:val="476"/>
        </w:trPr>
        <w:tc>
          <w:tcPr>
            <w:tcW w:w="8635" w:type="dxa"/>
          </w:tcPr>
          <w:p w:rsidR="003105AF" w:rsidRDefault="003105AF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105AF" w:rsidTr="003105AF">
        <w:trPr>
          <w:trHeight w:val="930"/>
        </w:trPr>
        <w:tc>
          <w:tcPr>
            <w:tcW w:w="8635" w:type="dxa"/>
            <w:hideMark/>
          </w:tcPr>
          <w:p w:rsidR="003105AF" w:rsidRDefault="003105AF" w:rsidP="00F30112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3105AF" w:rsidTr="003105AF">
        <w:trPr>
          <w:trHeight w:val="454"/>
        </w:trPr>
        <w:tc>
          <w:tcPr>
            <w:tcW w:w="8635" w:type="dxa"/>
          </w:tcPr>
          <w:p w:rsidR="003105AF" w:rsidRDefault="003105A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105AF" w:rsidTr="003105AF">
        <w:trPr>
          <w:trHeight w:val="476"/>
        </w:trPr>
        <w:tc>
          <w:tcPr>
            <w:tcW w:w="8635" w:type="dxa"/>
            <w:hideMark/>
          </w:tcPr>
          <w:p w:rsidR="003105AF" w:rsidRDefault="003105AF" w:rsidP="00F30112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3105AF" w:rsidTr="003105AF">
        <w:trPr>
          <w:trHeight w:val="454"/>
        </w:trPr>
        <w:tc>
          <w:tcPr>
            <w:tcW w:w="8635" w:type="dxa"/>
          </w:tcPr>
          <w:p w:rsidR="003105AF" w:rsidRDefault="003105A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105AF" w:rsidTr="003105AF">
        <w:trPr>
          <w:trHeight w:val="930"/>
        </w:trPr>
        <w:tc>
          <w:tcPr>
            <w:tcW w:w="8635" w:type="dxa"/>
            <w:hideMark/>
          </w:tcPr>
          <w:p w:rsidR="003105AF" w:rsidRDefault="003105AF" w:rsidP="00F30112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3105AF" w:rsidTr="003105AF">
        <w:trPr>
          <w:trHeight w:val="476"/>
        </w:trPr>
        <w:tc>
          <w:tcPr>
            <w:tcW w:w="8635" w:type="dxa"/>
          </w:tcPr>
          <w:p w:rsidR="003105AF" w:rsidRDefault="003105A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105AF" w:rsidTr="003105AF">
        <w:trPr>
          <w:trHeight w:val="454"/>
        </w:trPr>
        <w:tc>
          <w:tcPr>
            <w:tcW w:w="8635" w:type="dxa"/>
          </w:tcPr>
          <w:p w:rsidR="003105AF" w:rsidRDefault="003105AF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3105AF" w:rsidRDefault="003105A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3105AF" w:rsidTr="003105AF">
        <w:trPr>
          <w:trHeight w:val="476"/>
        </w:trPr>
        <w:tc>
          <w:tcPr>
            <w:tcW w:w="8635" w:type="dxa"/>
            <w:hideMark/>
          </w:tcPr>
          <w:p w:rsidR="003105AF" w:rsidRDefault="003105AF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3105AF" w:rsidRDefault="003105AF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3105AF" w:rsidRDefault="003105AF" w:rsidP="003105AF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3105AF" w:rsidRDefault="003105AF" w:rsidP="003105AF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3105AF" w:rsidRDefault="003105AF" w:rsidP="003105AF">
      <w:pPr>
        <w:rPr>
          <w:rFonts w:ascii="Times New Roman" w:hAnsi="Times New Roman"/>
          <w:sz w:val="24"/>
        </w:rPr>
        <w:sectPr w:rsidR="003105AF">
          <w:pgSz w:w="11900" w:h="16838"/>
          <w:pgMar w:top="709" w:right="840" w:bottom="1440" w:left="1700" w:header="0" w:footer="0" w:gutter="0"/>
          <w:cols w:space="720"/>
        </w:sectPr>
      </w:pPr>
    </w:p>
    <w:p w:rsidR="003105AF" w:rsidRDefault="003105AF" w:rsidP="003105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6743745"/>
      <w:bookmarkStart w:id="2" w:name="_Toc307291357"/>
    </w:p>
    <w:p w:rsidR="003105AF" w:rsidRDefault="003105AF" w:rsidP="003105AF">
      <w:pPr>
        <w:spacing w:line="360" w:lineRule="auto"/>
        <w:jc w:val="center"/>
        <w:rPr>
          <w:b/>
          <w:sz w:val="28"/>
          <w:szCs w:val="28"/>
        </w:rPr>
      </w:pP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Слесарь по топливной аппаратуре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18552 </w:t>
      </w:r>
      <w:r>
        <w:rPr>
          <w:rFonts w:ascii="Times New Roman" w:eastAsia="Calibri" w:hAnsi="Times New Roman" w:cs="Times New Roman"/>
          <w:bCs/>
          <w:sz w:val="28"/>
          <w:szCs w:val="28"/>
        </w:rPr>
        <w:t>Слесарь по ремонту топливной аппаратуры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Устройство топливной аппаратуры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bCs/>
          <w:cap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3105AF" w:rsidRDefault="003105AF" w:rsidP="003105AF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3105AF" w:rsidRDefault="003105AF" w:rsidP="003105AF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3105AF" w:rsidRDefault="003105AF" w:rsidP="003105AF">
      <w:pPr>
        <w:spacing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3105AF" w:rsidRDefault="003105AF" w:rsidP="003105AF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3105AF" w:rsidRDefault="003105AF" w:rsidP="003105AF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6743746"/>
      <w:bookmarkStart w:id="4" w:name="_Toc307291358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3105AF" w:rsidRDefault="003105AF" w:rsidP="003105AF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и профессиональных компетенций:</w:t>
      </w: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page6"/>
      <w:bookmarkStart w:id="6" w:name="page7"/>
      <w:bookmarkEnd w:id="5"/>
      <w:bookmarkEnd w:id="6"/>
      <w:r>
        <w:rPr>
          <w:rFonts w:ascii="Times New Roman" w:hAnsi="Times New Roman" w:cs="Times New Roman"/>
          <w:color w:val="000000"/>
          <w:sz w:val="28"/>
          <w:szCs w:val="28"/>
        </w:rPr>
        <w:t xml:space="preserve">ОК 1.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Понимать сущность и социальную значимость будущей</w:t>
      </w:r>
      <w:proofErr w:type="gramEnd"/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профессии, проявлять к ней устойчивый интерес.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2.  Организовывать  собственную  деятельность,  исходя  из  цели и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способов ее достижения, определенных руководителем.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текущий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итоговый  контроль,  оценку  и  коррекцию  собственной деятельности,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нести ответственность за результаты своей работы.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4. Осуществлять поиск информации, необходимой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эффективного выполнения профессиональных задач.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  5.  Использовать  информационно-коммуникационные  технологии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ОК  6.  Работать  в  команде,  эффективно  общаться  с  коллегами, 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руководством, клиентами.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ПК 3.1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пределять техническое состояние систем, агрегатов, узлов,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приборов автомобилей.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3.2. </w:t>
      </w:r>
      <w:r>
        <w:rPr>
          <w:rFonts w:ascii="Times New Roman" w:hAnsi="Times New Roman" w:cs="Times New Roman"/>
          <w:color w:val="000000"/>
          <w:sz w:val="28"/>
          <w:szCs w:val="28"/>
        </w:rPr>
        <w:t>Демонтировать системы, агрегаты, узлы, приборы автомобилей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выполнять комплекс работ по устранению неисправностей.</w:t>
      </w:r>
      <w:r>
        <w:rPr>
          <w:rFonts w:ascii="Arial" w:hAnsi="Arial"/>
          <w:color w:val="000000"/>
          <w:sz w:val="35"/>
          <w:szCs w:val="35"/>
        </w:rPr>
        <w:t xml:space="preserve"> 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ПК  3.3.  Вести  и  оформлять  учетно-отчетную  и  планирующую</w:t>
      </w:r>
    </w:p>
    <w:p w:rsidR="003105AF" w:rsidRDefault="003105AF" w:rsidP="003105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документацию.</w:t>
      </w:r>
    </w:p>
    <w:p w:rsidR="003105AF" w:rsidRDefault="003105AF" w:rsidP="003105AF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3105AF">
          <w:pgSz w:w="11900" w:h="16838"/>
          <w:pgMar w:top="1112" w:right="720" w:bottom="1027" w:left="1580" w:header="0" w:footer="0" w:gutter="0"/>
          <w:cols w:space="720"/>
        </w:sectPr>
      </w:pP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Оценка освоения теоретического курса учебной дисциплины </w:t>
      </w: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Pr="003105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Слесарь по топливной аппаратуре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  <w:bookmarkStart w:id="8" w:name="_GoBack"/>
      <w:bookmarkEnd w:id="8"/>
    </w:p>
    <w:p w:rsidR="003105AF" w:rsidRDefault="003105AF" w:rsidP="003105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3105AF" w:rsidRDefault="003105AF" w:rsidP="003105AF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3105AF" w:rsidRDefault="003105AF" w:rsidP="003105A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105AF" w:rsidRDefault="003105AF" w:rsidP="003105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дств дл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en-US"/>
        </w:rPr>
        <w:t>я итоговой аттестации по учебной дисциплине</w:t>
      </w:r>
      <w:r>
        <w:rPr>
          <w:rStyle w:val="c1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«</w:t>
      </w:r>
      <w:r w:rsidRPr="003105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Слесарь по топливной аппаратуре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3105AF" w:rsidRDefault="003105AF" w:rsidP="003105AF">
      <w:pPr>
        <w:pStyle w:val="c1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105AF" w:rsidRDefault="003105AF" w:rsidP="003105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 Вопросы к дифференцированному зачету по  дисциплине</w:t>
      </w:r>
    </w:p>
    <w:p w:rsidR="003105AF" w:rsidRDefault="003105AF" w:rsidP="003105AF">
      <w:pPr>
        <w:spacing w:line="294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«</w:t>
      </w:r>
      <w:r w:rsidRPr="003105A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Слесарь по топливной аппаратуре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»</w:t>
      </w:r>
    </w:p>
    <w:p w:rsidR="003105AF" w:rsidRDefault="003105AF" w:rsidP="003105AF">
      <w:pPr>
        <w:spacing w:line="29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Особенности смесеобразования в дизелях.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Особенности смесеобразования при наддуве воздуха.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Достоинства и недостатки дизелей с разделенной и неразделенной камерой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сгорания.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Назначение агрегатов и устройств системы питания дизеля.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 Типы фильтров грубой очистки топлива, их устройство, работа.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6. Типы фильтров тонкой очистки топлива, их назначение, устройство, работа.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7. Устройство и работа подкачивающей помпы поршневого типа.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8. Устройство и работа насоса ручной подкачки топлива.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9. Типы форсунок и особенности их применения на дизелях.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10. Устройство и работа штифтовой форсунки.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11. Устройство и работа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бесштифтовой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форсунки.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12. Особенности конструкции плунжера насоса 4УТНМ.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13. Механизм управления плунжерами насоса 4УТНМ.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14. Механизм изменения цикловой подачи топлива у насосных секций насоса 4УТНМ.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15. Работу регулятора насоса 4УТНМ: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а) при пуске двигателя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б) при работе двигателя с максимальной частотой холостого хода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в) при работе двигателя с номинальной нагрузкой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г) при кратковременных перегрузках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) при остановке двигателя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16. Преимущества насосов распределительного типа перед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многоплунжерными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17. Конструкция втулки (гильзы) и плунжера насоса НД-21/4.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18. Особенности механизма управления плунжерами, обусловленные V-образной конструкцией корпуса насоса 33-02.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19. Двухрежимные регуляторы частоты вращения, их отличие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всережимных. Преимущества двухрежимных регуляторов при применении их на автомобилях.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20. Типы автомобильных топливных фильтров. Устройство и работа щелевого и керамического топливных фильтров.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21. Устройство топливного бака на автомобиле. Назначение, устройство и работа паровоздушного клапана в баке.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22. Устройство и работа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турбокомпрессоров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их маркировка.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23. Компрессоры с механическим приводом. Их достоинства и недостатки в сравнении с турбокомпрессорами.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24. Особенности пуска и остановки двигателей с турбокомпрессорами.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25. Способы облегчается пуска дизельного двигателя в условиях низких температур.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26. Основные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неисправности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работе дизельных двигателей вызванные неполадками в топливной аппаратуре.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27. Основные операции по техническому обслуживанию топливной аппаратуры дизелей.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28. Последовательность демонтажа топливной аппаратуры с дизеля.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29. Организация цеха по регулировке и ремонту дизельной топливной аппаратуры.</w:t>
      </w:r>
    </w:p>
    <w:p w:rsidR="003105AF" w:rsidRDefault="003105AF" w:rsidP="003105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30. Стенды для испытаний топливной аппаратуры дизельных двигателей. 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Расчет основного оборудования и штата обслуживающего персонала цеха по регулировке и ремонту дизельной топливной аппаратуры.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Методика удаления воздуха из системы топливоподачи дизелей.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33. Основные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характеризующие работу топливных фильтров дизелей.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34. Проверка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состояния фильтров системы питания дизеля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Проверка работы топливоподкачивающего насоса в эксплуатационных условиях.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Проверка и установка регулятора ТНВД на двигателе. 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Текущая проверка работы форсунок дизеля.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38. Проверка автомобилей с дизельными двигателями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отработавших газов.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Приемка дизельной топливной аппаратуры в ремонт.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Общие требования к разборке механизмов дизельной топливной аппаратуры.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Технологических процесс разборки топливных насосов высокого давления.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42. Проверка состояния насосных элементов топливных насосов высокого давления.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Правила разборки и мойки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 Проверка состояния прецизионных деталей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 Способы восстановления работоспособности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 Гидравлические испытания плунжерных пар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47. Ремонт прецизионных деталей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48. Ремонт нагнетательных клапанов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49. 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непрецизионных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деталей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 Правила сборки насосных элементов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51. Ремонт корпусов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52. Ремонт кулачковых валиков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53. Ремонт деталей привода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54. Ремонт толкателей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55. Правила сборки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56. Правила разборки и сборки регуляторов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57. Ремонт регуляторов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58. Характеристики регуляторов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59. Подготовка ТНВД к испытанию и регулировке.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 Настройка регулятора топливного насоса высокого давления.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61. Регулировка ТНВД на момент начала подачи топлива.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 Регулировка равномерности подачи топлива секциями многоплунжерного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63. Методика снятия характеристики ТНВД по подаче топлива.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64. Методика снятия скоростной характеристики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65. Методика снятия регуляторной характеристики ТНВД.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66. Ремонт топливоподкачивающих насосов.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67. Правила сборки топливоподкачивающих насосов.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68. Испытание топливоподкачивающих насосов.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69. Ремонт топливных фильтров дизельных двигателей.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70. Правила сборки топливных фильтров дизельных двигателей.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71. Испытание топливных фильтров дизельных двигателей после ремонта.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72. Мойка и проверка деталей форсунок дизелей.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73. Ремонт распылителей форсунок.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74. Проверка герметичности распылителя форсунки.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75. Правила сборки форсунок.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76. Испытание и регулировка форсунок дизеля.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77. 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топливопроводов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питания дизеля.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78. Смесеобразование в карбюраторном двигателе и составы горючей смеси. Каким коэффициентом оценивается состав смеси и его величина для различных составов?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79. Назначение карбюраторов, их классификация.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80. Простейший карбюратор и его характеристика. Недостатки простейшего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81. Дополнительные устройства карбюратора, их назначение. Характеристика реального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82. Устройство и принцип работы главной дозирующей системы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83. Устройство и принцип работы системы холостого хода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84. Устройство и принцип работы экономайзера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эконостата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85. Устройство и принцип работы ускорительного насоса карбюратора. 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86. Устройство и принцип работы пускового приспособления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87. Устройство и принцип работы экономайзера принудительного холостого хода.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88. Явные неисправности карбюраторов, их проявление.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89. Неявные неисправности карбюраторов, их проявление.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90. Методика проверки пропускной способности жиклеров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91. Методика проверки герметичности игольчатого клапана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92.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Пневмоинерционный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ограничитель частоты вращения коленчатого вала (на примере</w:t>
      </w:r>
      <w:proofErr w:type="gramEnd"/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двигателя ЗМЗ-53-12).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93. Основные неисправности в системе питания карбюраторного двигателя.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94. Оборудование для проверки и настройки элементов топливной аппаратуры карбюраторных двигателей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Карбютест-стандарт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НИИАТ-577Б, НИИАТ-489М)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95. Диагностика топливного насоса карбюраторных двигателей.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96. Проверка токсичности отработавших газов бензинового двигателя.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97. Методика регулировки карбюратора.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98. Стенд для очистки и испытания бензиновых форсунок ДД-2200 (ОАО МОПАЗ).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99. Проверка и испытание систем топливоподачи двигателей с впрыском бензина.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100. Регулирование систем топливоподачи двигателей с впрыском бензина. </w:t>
      </w:r>
    </w:p>
    <w:p w:rsidR="003105AF" w:rsidRDefault="003105AF" w:rsidP="003105AF">
      <w:pPr>
        <w:tabs>
          <w:tab w:val="left" w:pos="1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05AF" w:rsidRDefault="003105AF" w:rsidP="003105AF">
      <w:pPr>
        <w:spacing w:line="294" w:lineRule="atLeast"/>
      </w:pPr>
    </w:p>
    <w:p w:rsidR="008178DD" w:rsidRDefault="008178DD"/>
    <w:sectPr w:rsidR="008178DD" w:rsidSect="00CF2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5AF"/>
    <w:rsid w:val="003105AF"/>
    <w:rsid w:val="008178DD"/>
    <w:rsid w:val="00A55AEC"/>
    <w:rsid w:val="00A66200"/>
    <w:rsid w:val="00AB058D"/>
    <w:rsid w:val="00CF2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AF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105A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105A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105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105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3105AF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3105AF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310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19">
    <w:name w:val="c19"/>
    <w:basedOn w:val="a"/>
    <w:rsid w:val="003105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105AF"/>
  </w:style>
  <w:style w:type="paragraph" w:styleId="a3">
    <w:name w:val="Balloon Text"/>
    <w:basedOn w:val="a"/>
    <w:link w:val="a4"/>
    <w:uiPriority w:val="99"/>
    <w:semiHidden/>
    <w:unhideWhenUsed/>
    <w:rsid w:val="00A55A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AF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105A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105A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105A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105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3105AF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3105AF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3105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19">
    <w:name w:val="c19"/>
    <w:basedOn w:val="a"/>
    <w:rsid w:val="003105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10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1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1633</Words>
  <Characters>9314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4</cp:revision>
  <dcterms:created xsi:type="dcterms:W3CDTF">2020-07-06T14:43:00Z</dcterms:created>
  <dcterms:modified xsi:type="dcterms:W3CDTF">2020-07-10T08:21:00Z</dcterms:modified>
</cp:coreProperties>
</file>